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6F" w:rsidRPr="00D61303" w:rsidRDefault="00467F6F" w:rsidP="00467F6F">
      <w:pPr>
        <w:pStyle w:val="SubHead"/>
        <w:jc w:val="left"/>
        <w:rPr>
          <w:rFonts w:ascii="Times New Roman" w:hAnsi="Times New Roman"/>
          <w:sz w:val="24"/>
        </w:rPr>
      </w:pPr>
      <w:bookmarkStart w:id="0" w:name="_GoBack"/>
      <w:bookmarkEnd w:id="0"/>
      <w:r w:rsidRPr="00D61303">
        <w:rPr>
          <w:rFonts w:ascii="Times New Roman" w:hAnsi="Times New Roman"/>
          <w:sz w:val="24"/>
        </w:rPr>
        <w:tab/>
      </w:r>
      <w:r w:rsidR="00E3735B" w:rsidRPr="00D61303">
        <w:rPr>
          <w:rFonts w:ascii="Times New Roman" w:hAnsi="Times New Roman"/>
          <w:sz w:val="24"/>
        </w:rPr>
        <w:tab/>
      </w:r>
    </w:p>
    <w:p w:rsidR="00467F6F" w:rsidRPr="00D61303" w:rsidRDefault="00467F6F" w:rsidP="00467F6F">
      <w:pPr>
        <w:pStyle w:val="Body"/>
        <w:rPr>
          <w:rFonts w:ascii="Times New Roman" w:hAnsi="Times New Roman"/>
          <w:sz w:val="24"/>
        </w:rPr>
      </w:pPr>
    </w:p>
    <w:p w:rsidR="00467F6F" w:rsidRPr="004C67F2" w:rsidRDefault="005B542A" w:rsidP="00467F6F">
      <w:pPr>
        <w:pStyle w:val="SubHead"/>
        <w:jc w:val="left"/>
        <w:rPr>
          <w:rFonts w:ascii="Times New Roman" w:hAnsi="Times New Roman"/>
          <w:sz w:val="24"/>
        </w:rPr>
      </w:pPr>
      <w:r w:rsidRPr="004C67F2">
        <w:rPr>
          <w:noProof/>
        </w:rPr>
        <w:drawing>
          <wp:inline distT="0" distB="0" distL="0" distR="0" wp14:anchorId="6BBC5185" wp14:editId="32904FFB">
            <wp:extent cx="885825" cy="457200"/>
            <wp:effectExtent l="0" t="0" r="9525" b="0"/>
            <wp:docPr id="1" name="Bildobjekt 1" descr="bal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de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rsidR="00E3735B" w:rsidRPr="004C67F2" w:rsidRDefault="00E3735B" w:rsidP="00467F6F">
      <w:pPr>
        <w:pStyle w:val="SubHead"/>
        <w:jc w:val="left"/>
        <w:rPr>
          <w:rFonts w:ascii="Times New Roman" w:hAnsi="Times New Roman"/>
          <w:sz w:val="24"/>
        </w:rPr>
      </w:pPr>
    </w:p>
    <w:p w:rsidR="001E4A4D" w:rsidRPr="004C67F2" w:rsidRDefault="001E4A4D" w:rsidP="001E4A4D">
      <w:pPr>
        <w:pStyle w:val="Head"/>
        <w:jc w:val="left"/>
        <w:rPr>
          <w:rFonts w:ascii="Times New Roman" w:hAnsi="Times New Roman"/>
          <w:sz w:val="24"/>
        </w:rPr>
      </w:pPr>
      <w:r w:rsidRPr="004C67F2">
        <w:rPr>
          <w:rFonts w:ascii="Times New Roman" w:hAnsi="Times New Roman"/>
          <w:sz w:val="24"/>
        </w:rPr>
        <w:t>Styrelsens motiverade yttrande enligt 19 kap 2</w:t>
      </w:r>
      <w:r w:rsidR="004C67F2" w:rsidRPr="004C67F2">
        <w:rPr>
          <w:rFonts w:ascii="Times New Roman" w:hAnsi="Times New Roman"/>
          <w:sz w:val="24"/>
        </w:rPr>
        <w:t>2 § aktiebolagslagen (2005:551)</w:t>
      </w:r>
    </w:p>
    <w:p w:rsidR="001E4A4D" w:rsidRPr="004C67F2" w:rsidRDefault="001E4A4D" w:rsidP="001E4A4D">
      <w:pPr>
        <w:pStyle w:val="Body"/>
        <w:jc w:val="left"/>
        <w:rPr>
          <w:rFonts w:ascii="Times New Roman" w:hAnsi="Times New Roman"/>
          <w:sz w:val="24"/>
        </w:rPr>
      </w:pPr>
      <w:r w:rsidRPr="004C67F2">
        <w:rPr>
          <w:rFonts w:ascii="Times New Roman" w:hAnsi="Times New Roman"/>
          <w:sz w:val="24"/>
        </w:rPr>
        <w:t>Styrelsen får härmed avge följande yttrande enligt 19 kap 22 § aktiebolagslagen.</w:t>
      </w:r>
    </w:p>
    <w:p w:rsidR="001E4A4D" w:rsidRPr="004C67F2" w:rsidRDefault="001E4A4D" w:rsidP="001E4A4D">
      <w:pPr>
        <w:pStyle w:val="Body"/>
        <w:jc w:val="left"/>
        <w:rPr>
          <w:rFonts w:ascii="Times New Roman" w:hAnsi="Times New Roman"/>
          <w:sz w:val="24"/>
        </w:rPr>
      </w:pPr>
      <w:r w:rsidRPr="004C67F2">
        <w:rPr>
          <w:rFonts w:ascii="Times New Roman" w:hAnsi="Times New Roman"/>
          <w:sz w:val="24"/>
        </w:rPr>
        <w:t>Styrelsens motivering till att det föreslagna bemyndigandet för styrelsen att återköpa egna aktier av serie B</w:t>
      </w:r>
      <w:r w:rsidR="009C1990" w:rsidRPr="004C67F2">
        <w:rPr>
          <w:rFonts w:ascii="Times New Roman" w:hAnsi="Times New Roman"/>
          <w:sz w:val="24"/>
        </w:rPr>
        <w:t xml:space="preserve"> </w:t>
      </w:r>
      <w:r w:rsidR="0036539E" w:rsidRPr="004C67F2">
        <w:rPr>
          <w:rFonts w:ascii="Times New Roman" w:hAnsi="Times New Roman"/>
          <w:sz w:val="24"/>
        </w:rPr>
        <w:t>är förenligt</w:t>
      </w:r>
      <w:r w:rsidRPr="004C67F2">
        <w:rPr>
          <w:rFonts w:ascii="Times New Roman" w:hAnsi="Times New Roman"/>
          <w:sz w:val="24"/>
        </w:rPr>
        <w:t xml:space="preserve"> med bestämmelserna i 17 kap. 3 § 2 och 3 st. aktiebolagslagen är följande.</w:t>
      </w:r>
    </w:p>
    <w:p w:rsidR="001E4A4D" w:rsidRPr="004C67F2" w:rsidRDefault="001E4A4D" w:rsidP="001E4A4D">
      <w:pPr>
        <w:pStyle w:val="Body"/>
        <w:jc w:val="left"/>
        <w:rPr>
          <w:rFonts w:ascii="Times New Roman" w:eastAsia="PMingLiU" w:hAnsi="Times New Roman"/>
          <w:b/>
          <w:sz w:val="24"/>
          <w:lang w:eastAsia="zh-TW"/>
        </w:rPr>
      </w:pPr>
      <w:r w:rsidRPr="004C67F2">
        <w:rPr>
          <w:rFonts w:ascii="Times New Roman" w:eastAsia="PMingLiU" w:hAnsi="Times New Roman"/>
          <w:b/>
          <w:sz w:val="24"/>
          <w:lang w:eastAsia="zh-TW"/>
        </w:rPr>
        <w:t xml:space="preserve">Verksamhetens art, omfattning och risker </w:t>
      </w:r>
    </w:p>
    <w:p w:rsidR="001E4A4D" w:rsidRPr="004C67F2" w:rsidRDefault="001E4A4D" w:rsidP="001E4A4D">
      <w:pPr>
        <w:pStyle w:val="Body"/>
        <w:jc w:val="left"/>
        <w:rPr>
          <w:rFonts w:ascii="Times New Roman" w:eastAsia="PMingLiU" w:hAnsi="Times New Roman"/>
          <w:sz w:val="24"/>
          <w:lang w:eastAsia="zh-TW"/>
        </w:rPr>
      </w:pPr>
      <w:r w:rsidRPr="004C67F2">
        <w:rPr>
          <w:rFonts w:ascii="Times New Roman" w:eastAsia="PMingLiU" w:hAnsi="Times New Roman"/>
          <w:sz w:val="24"/>
          <w:lang w:eastAsia="zh-TW"/>
        </w:rPr>
        <w:t xml:space="preserve">Verksamhetens art och omfattning framgår av bolagsordningen och avgivna årsredovisningar. Den verksamhet som bedrivs i bolaget och koncernen medför inte risker utöver vad som förekommer eller kan antas förekomma i branschen eller de risker som i allmänhet är förenade med bedrivande av näringsverksamhet. </w:t>
      </w:r>
    </w:p>
    <w:p w:rsidR="001E4A4D" w:rsidRPr="004C67F2" w:rsidRDefault="001E4A4D" w:rsidP="001E4A4D">
      <w:pPr>
        <w:pStyle w:val="Body"/>
        <w:jc w:val="left"/>
        <w:rPr>
          <w:rFonts w:ascii="Times New Roman" w:eastAsia="PMingLiU" w:hAnsi="Times New Roman"/>
          <w:b/>
          <w:sz w:val="24"/>
          <w:lang w:eastAsia="zh-TW"/>
        </w:rPr>
      </w:pPr>
      <w:r w:rsidRPr="004C67F2">
        <w:rPr>
          <w:rFonts w:ascii="Times New Roman" w:eastAsia="PMingLiU" w:hAnsi="Times New Roman"/>
          <w:b/>
          <w:sz w:val="24"/>
          <w:lang w:eastAsia="zh-TW"/>
        </w:rPr>
        <w:t xml:space="preserve">Bolagets och koncernens ekonomiska ställning </w:t>
      </w:r>
    </w:p>
    <w:p w:rsidR="001E4A4D" w:rsidRPr="004C67F2" w:rsidRDefault="001E4A4D" w:rsidP="001E4A4D">
      <w:pPr>
        <w:pStyle w:val="Body"/>
        <w:jc w:val="left"/>
        <w:rPr>
          <w:rFonts w:ascii="Times New Roman" w:hAnsi="Times New Roman"/>
          <w:sz w:val="24"/>
        </w:rPr>
      </w:pPr>
      <w:r w:rsidRPr="004C67F2">
        <w:rPr>
          <w:rFonts w:ascii="Times New Roman" w:eastAsia="PMingLiU" w:hAnsi="Times New Roman"/>
          <w:sz w:val="24"/>
          <w:lang w:eastAsia="zh-TW"/>
        </w:rPr>
        <w:t>Bolagets och koncernens ekonomiska ställning per den 31 december 201</w:t>
      </w:r>
      <w:r w:rsidR="00846C19" w:rsidRPr="004C67F2">
        <w:rPr>
          <w:rFonts w:ascii="Times New Roman" w:eastAsia="PMingLiU" w:hAnsi="Times New Roman"/>
          <w:sz w:val="24"/>
          <w:lang w:eastAsia="zh-TW"/>
        </w:rPr>
        <w:t>7</w:t>
      </w:r>
      <w:r w:rsidRPr="004C67F2">
        <w:rPr>
          <w:rFonts w:ascii="Times New Roman" w:eastAsia="PMingLiU" w:hAnsi="Times New Roman"/>
          <w:sz w:val="24"/>
          <w:lang w:eastAsia="zh-TW"/>
        </w:rPr>
        <w:t xml:space="preserve"> framgår av den senast avgivna årsredovisningen. Det framgår också av årsredovisningen vilka principer som tillämpats för värdering av tillgångar, avsättningar och skulder. </w:t>
      </w:r>
      <w:r w:rsidRPr="004C67F2">
        <w:rPr>
          <w:rFonts w:ascii="Times New Roman" w:hAnsi="Times New Roman"/>
          <w:sz w:val="24"/>
        </w:rPr>
        <w:t xml:space="preserve">Tillgångar och skulder har värderats till verkligt värde i enlighet med 4 kap. 14 a § årsredovisningslagen (1995:1554).  </w:t>
      </w:r>
      <w:r w:rsidR="00D61303" w:rsidRPr="004C67F2">
        <w:rPr>
          <w:rFonts w:ascii="Times New Roman" w:hAnsi="Times New Roman"/>
          <w:sz w:val="24"/>
        </w:rPr>
        <w:t>A</w:t>
      </w:r>
      <w:r w:rsidRPr="004C67F2">
        <w:rPr>
          <w:rFonts w:ascii="Times New Roman" w:hAnsi="Times New Roman"/>
          <w:sz w:val="24"/>
        </w:rPr>
        <w:t>v bolagets egna kapital beror</w:t>
      </w:r>
      <w:r w:rsidR="002227C0" w:rsidRPr="004C67F2">
        <w:rPr>
          <w:rFonts w:ascii="Times New Roman" w:hAnsi="Times New Roman"/>
          <w:sz w:val="24"/>
        </w:rPr>
        <w:t xml:space="preserve"> </w:t>
      </w:r>
      <w:r w:rsidR="0036539E" w:rsidRPr="004C67F2">
        <w:rPr>
          <w:rFonts w:ascii="Times New Roman" w:hAnsi="Times New Roman"/>
          <w:sz w:val="24"/>
        </w:rPr>
        <w:t xml:space="preserve">2,9 </w:t>
      </w:r>
      <w:r w:rsidR="00D61303" w:rsidRPr="004C67F2">
        <w:rPr>
          <w:rFonts w:ascii="Times New Roman" w:hAnsi="Times New Roman"/>
          <w:sz w:val="24"/>
        </w:rPr>
        <w:t>procent</w:t>
      </w:r>
      <w:r w:rsidRPr="004C67F2">
        <w:rPr>
          <w:rFonts w:ascii="Times New Roman" w:hAnsi="Times New Roman"/>
          <w:sz w:val="24"/>
        </w:rPr>
        <w:t xml:space="preserve"> på att sådan värdering har tillämpats. Om värderingen inte hade skett till verkligt värde hade eget kapital varit </w:t>
      </w:r>
      <w:r w:rsidR="0036539E" w:rsidRPr="004C67F2">
        <w:rPr>
          <w:rFonts w:ascii="Times New Roman" w:hAnsi="Times New Roman"/>
          <w:sz w:val="24"/>
        </w:rPr>
        <w:t>280 783 994</w:t>
      </w:r>
      <w:r w:rsidRPr="004C67F2">
        <w:rPr>
          <w:rFonts w:ascii="Times New Roman" w:hAnsi="Times New Roman"/>
          <w:sz w:val="24"/>
        </w:rPr>
        <w:t xml:space="preserve"> kronor högre.</w:t>
      </w:r>
    </w:p>
    <w:p w:rsidR="001E4A4D" w:rsidRPr="004C67F2" w:rsidRDefault="001E4A4D" w:rsidP="001E4A4D">
      <w:pPr>
        <w:pStyle w:val="Body"/>
        <w:jc w:val="left"/>
        <w:rPr>
          <w:rFonts w:ascii="Times New Roman" w:eastAsia="PMingLiU" w:hAnsi="Times New Roman"/>
          <w:sz w:val="24"/>
          <w:lang w:eastAsia="zh-TW"/>
        </w:rPr>
      </w:pPr>
      <w:r w:rsidRPr="004C67F2">
        <w:rPr>
          <w:rFonts w:ascii="Times New Roman" w:eastAsia="PMingLiU" w:hAnsi="Times New Roman"/>
          <w:sz w:val="24"/>
          <w:lang w:eastAsia="zh-TW"/>
        </w:rPr>
        <w:t>Styrelsen har föreslagit att styrelsen bemyndigas att besluta om förvärv av högst så många aktier</w:t>
      </w:r>
      <w:r w:rsidR="00DB45CE" w:rsidRPr="004C67F2">
        <w:rPr>
          <w:rFonts w:ascii="Times New Roman" w:eastAsia="PMingLiU" w:hAnsi="Times New Roman"/>
          <w:sz w:val="24"/>
          <w:lang w:eastAsia="zh-TW"/>
        </w:rPr>
        <w:t xml:space="preserve"> av serie B</w:t>
      </w:r>
      <w:r w:rsidRPr="004C67F2">
        <w:rPr>
          <w:rFonts w:ascii="Times New Roman" w:eastAsia="PMingLiU" w:hAnsi="Times New Roman"/>
          <w:sz w:val="24"/>
          <w:lang w:eastAsia="zh-TW"/>
        </w:rPr>
        <w:t xml:space="preserve"> i bolaget att bolaget efter varje förvärv innehar högst 10 (tio) procent av det </w:t>
      </w:r>
      <w:r w:rsidR="00D052BC" w:rsidRPr="004C67F2">
        <w:rPr>
          <w:rFonts w:ascii="Times New Roman" w:eastAsia="PMingLiU" w:hAnsi="Times New Roman"/>
          <w:sz w:val="24"/>
          <w:lang w:eastAsia="zh-TW"/>
        </w:rPr>
        <w:t>totala antalet aktier</w:t>
      </w:r>
      <w:r w:rsidR="000840EA" w:rsidRPr="004C67F2">
        <w:rPr>
          <w:rFonts w:ascii="Times New Roman" w:eastAsia="PMingLiU" w:hAnsi="Times New Roman"/>
          <w:sz w:val="24"/>
          <w:lang w:eastAsia="zh-TW"/>
        </w:rPr>
        <w:t xml:space="preserve"> i </w:t>
      </w:r>
      <w:r w:rsidRPr="004C67F2">
        <w:rPr>
          <w:rFonts w:ascii="Times New Roman" w:eastAsia="PMingLiU" w:hAnsi="Times New Roman"/>
          <w:sz w:val="24"/>
          <w:lang w:eastAsia="zh-TW"/>
        </w:rPr>
        <w:t>bolaget.</w:t>
      </w:r>
    </w:p>
    <w:p w:rsidR="001E4A4D" w:rsidRPr="004C67F2" w:rsidRDefault="001E4A4D" w:rsidP="001E4A4D">
      <w:pPr>
        <w:pStyle w:val="Body"/>
        <w:jc w:val="left"/>
        <w:rPr>
          <w:rFonts w:ascii="Times New Roman" w:eastAsia="PMingLiU" w:hAnsi="Times New Roman"/>
          <w:sz w:val="24"/>
          <w:lang w:eastAsia="zh-TW"/>
        </w:rPr>
      </w:pPr>
      <w:r w:rsidRPr="004C67F2">
        <w:rPr>
          <w:rFonts w:ascii="Times New Roman" w:eastAsia="PMingLiU" w:hAnsi="Times New Roman"/>
          <w:sz w:val="24"/>
          <w:lang w:eastAsia="zh-TW"/>
        </w:rPr>
        <w:t>Av årsredovisningen framgår bland annat att</w:t>
      </w:r>
      <w:r w:rsidR="0036539E" w:rsidRPr="004C67F2">
        <w:rPr>
          <w:rFonts w:ascii="Times New Roman" w:eastAsia="PMingLiU" w:hAnsi="Times New Roman"/>
          <w:sz w:val="24"/>
          <w:lang w:eastAsia="zh-TW"/>
        </w:rPr>
        <w:t xml:space="preserve"> bolagets soliditet uppgår till 22,1 </w:t>
      </w:r>
      <w:r w:rsidRPr="004C67F2">
        <w:rPr>
          <w:rFonts w:ascii="Times New Roman" w:eastAsia="PMingLiU" w:hAnsi="Times New Roman"/>
          <w:sz w:val="24"/>
          <w:lang w:eastAsia="zh-TW"/>
        </w:rPr>
        <w:t>procent och koncernens soliditet till</w:t>
      </w:r>
      <w:r w:rsidR="0036539E" w:rsidRPr="004C67F2">
        <w:rPr>
          <w:rFonts w:ascii="Times New Roman" w:eastAsia="PMingLiU" w:hAnsi="Times New Roman"/>
          <w:sz w:val="24"/>
          <w:lang w:eastAsia="zh-TW"/>
        </w:rPr>
        <w:t xml:space="preserve"> 35,5</w:t>
      </w:r>
      <w:r w:rsidRPr="004C67F2">
        <w:rPr>
          <w:rFonts w:ascii="Times New Roman" w:eastAsia="PMingLiU" w:hAnsi="Times New Roman"/>
          <w:sz w:val="24"/>
          <w:lang w:eastAsia="zh-TW"/>
        </w:rPr>
        <w:t xml:space="preserve"> procent. Bolagets och koncernens soliditet avviker inte från vad som är förekommande inom i branschen. De</w:t>
      </w:r>
      <w:r w:rsidR="003E7CF4" w:rsidRPr="004C67F2">
        <w:rPr>
          <w:rFonts w:ascii="Times New Roman" w:eastAsia="PMingLiU" w:hAnsi="Times New Roman"/>
          <w:sz w:val="24"/>
          <w:lang w:eastAsia="zh-TW"/>
        </w:rPr>
        <w:t>t</w:t>
      </w:r>
      <w:r w:rsidRPr="004C67F2">
        <w:rPr>
          <w:rFonts w:ascii="Times New Roman" w:eastAsia="PMingLiU" w:hAnsi="Times New Roman"/>
          <w:sz w:val="24"/>
          <w:lang w:eastAsia="zh-TW"/>
        </w:rPr>
        <w:t xml:space="preserve"> för</w:t>
      </w:r>
      <w:r w:rsidR="0036539E" w:rsidRPr="004C67F2">
        <w:rPr>
          <w:rFonts w:ascii="Times New Roman" w:eastAsia="PMingLiU" w:hAnsi="Times New Roman"/>
          <w:sz w:val="24"/>
          <w:lang w:eastAsia="zh-TW"/>
        </w:rPr>
        <w:t>e</w:t>
      </w:r>
      <w:r w:rsidRPr="004C67F2">
        <w:rPr>
          <w:rFonts w:ascii="Times New Roman" w:eastAsia="PMingLiU" w:hAnsi="Times New Roman"/>
          <w:sz w:val="24"/>
          <w:lang w:eastAsia="zh-TW"/>
        </w:rPr>
        <w:t>slagna bemyndigandet om återköp av egna aktier av serie B</w:t>
      </w:r>
      <w:r w:rsidR="00DB45CE" w:rsidRPr="004C67F2">
        <w:rPr>
          <w:rFonts w:ascii="Times New Roman" w:eastAsia="PMingLiU" w:hAnsi="Times New Roman"/>
          <w:sz w:val="24"/>
          <w:lang w:eastAsia="zh-TW"/>
        </w:rPr>
        <w:t xml:space="preserve"> </w:t>
      </w:r>
      <w:r w:rsidRPr="004C67F2">
        <w:rPr>
          <w:rFonts w:ascii="Times New Roman" w:eastAsia="PMingLiU" w:hAnsi="Times New Roman"/>
          <w:sz w:val="24"/>
          <w:lang w:eastAsia="zh-TW"/>
        </w:rPr>
        <w:t>äventyrar inte fullföljandet av de investeringar som bedömts erforderliga. Styrelsen bedömer vidare att bolagets och koncernens likviditet kan upprätthållas på en betryggande nivå.</w:t>
      </w:r>
    </w:p>
    <w:p w:rsidR="001E4A4D" w:rsidRPr="004C67F2" w:rsidRDefault="001E4A4D" w:rsidP="001E4A4D">
      <w:pPr>
        <w:pStyle w:val="Body"/>
        <w:jc w:val="left"/>
        <w:rPr>
          <w:rFonts w:ascii="Times New Roman" w:eastAsia="PMingLiU" w:hAnsi="Times New Roman"/>
          <w:sz w:val="24"/>
          <w:lang w:eastAsia="zh-TW"/>
        </w:rPr>
      </w:pPr>
      <w:r w:rsidRPr="004C67F2">
        <w:rPr>
          <w:rFonts w:ascii="Times New Roman" w:eastAsia="PMingLiU" w:hAnsi="Times New Roman"/>
          <w:sz w:val="24"/>
          <w:lang w:eastAsia="zh-TW"/>
        </w:rPr>
        <w:t>Bolagets och koncernens ekonomiska ställning ger inte upphov till annan bedömning än att bolaget kan fortsätta sin verksamhet samt att bolaget och koncernen kan förväntas fullgöra sina förpliktelser på kort och lång sikt.</w:t>
      </w:r>
    </w:p>
    <w:p w:rsidR="004C67F2" w:rsidRDefault="004C67F2" w:rsidP="001E4A4D">
      <w:pPr>
        <w:pStyle w:val="Body"/>
        <w:keepNext/>
        <w:keepLines/>
        <w:jc w:val="left"/>
        <w:rPr>
          <w:rFonts w:ascii="Times New Roman" w:eastAsia="PMingLiU" w:hAnsi="Times New Roman"/>
          <w:b/>
          <w:sz w:val="24"/>
          <w:lang w:eastAsia="zh-TW"/>
        </w:rPr>
      </w:pPr>
    </w:p>
    <w:p w:rsidR="004C67F2" w:rsidRDefault="004C67F2" w:rsidP="001E4A4D">
      <w:pPr>
        <w:pStyle w:val="Body"/>
        <w:keepNext/>
        <w:keepLines/>
        <w:jc w:val="left"/>
        <w:rPr>
          <w:rFonts w:ascii="Times New Roman" w:eastAsia="PMingLiU" w:hAnsi="Times New Roman"/>
          <w:b/>
          <w:sz w:val="24"/>
          <w:lang w:eastAsia="zh-TW"/>
        </w:rPr>
      </w:pPr>
    </w:p>
    <w:p w:rsidR="001E4A4D" w:rsidRPr="004C67F2" w:rsidRDefault="003E7CF4" w:rsidP="001E4A4D">
      <w:pPr>
        <w:pStyle w:val="Body"/>
        <w:keepNext/>
        <w:keepLines/>
        <w:jc w:val="left"/>
        <w:rPr>
          <w:rFonts w:ascii="Times New Roman" w:eastAsia="PMingLiU" w:hAnsi="Times New Roman"/>
          <w:b/>
          <w:sz w:val="24"/>
          <w:lang w:eastAsia="zh-TW"/>
        </w:rPr>
      </w:pPr>
      <w:r w:rsidRPr="004C67F2">
        <w:rPr>
          <w:rFonts w:ascii="Times New Roman" w:eastAsia="PMingLiU" w:hAnsi="Times New Roman"/>
          <w:b/>
          <w:sz w:val="24"/>
          <w:lang w:eastAsia="zh-TW"/>
        </w:rPr>
        <w:t>Å</w:t>
      </w:r>
      <w:r w:rsidR="001E4A4D" w:rsidRPr="004C67F2">
        <w:rPr>
          <w:rFonts w:ascii="Times New Roman" w:eastAsia="PMingLiU" w:hAnsi="Times New Roman"/>
          <w:b/>
          <w:sz w:val="24"/>
          <w:lang w:eastAsia="zh-TW"/>
        </w:rPr>
        <w:t>terköpsförslagets försvarlighet</w:t>
      </w:r>
    </w:p>
    <w:p w:rsidR="001E4A4D" w:rsidRPr="004C67F2" w:rsidRDefault="001E4A4D" w:rsidP="001E4A4D">
      <w:pPr>
        <w:pStyle w:val="Body"/>
        <w:keepNext/>
        <w:keepLines/>
        <w:jc w:val="left"/>
        <w:rPr>
          <w:rFonts w:ascii="Times New Roman" w:hAnsi="Times New Roman"/>
          <w:sz w:val="24"/>
        </w:rPr>
      </w:pPr>
      <w:r w:rsidRPr="004C67F2">
        <w:rPr>
          <w:rFonts w:ascii="Times New Roman" w:hAnsi="Times New Roman"/>
          <w:sz w:val="24"/>
        </w:rPr>
        <w:t xml:space="preserve">Med hänvisning till ovanstående och vad som i övrigt kommit till styrelsens kännedom är styrelsens bedömning att en allsidig bedömning av bolagets och koncernens ekonomiska ställning medför att </w:t>
      </w:r>
      <w:r w:rsidR="00846C19" w:rsidRPr="004C67F2">
        <w:rPr>
          <w:rFonts w:ascii="Times New Roman" w:hAnsi="Times New Roman"/>
          <w:sz w:val="24"/>
        </w:rPr>
        <w:t xml:space="preserve">förslaget </w:t>
      </w:r>
      <w:r w:rsidR="003E7CF4" w:rsidRPr="004C67F2">
        <w:rPr>
          <w:rFonts w:ascii="Times New Roman" w:hAnsi="Times New Roman"/>
          <w:sz w:val="24"/>
        </w:rPr>
        <w:t xml:space="preserve">att bemyndiga styrelsen att återköpa egna aktier av serie B </w:t>
      </w:r>
      <w:r w:rsidRPr="004C67F2">
        <w:rPr>
          <w:rFonts w:ascii="Times New Roman" w:hAnsi="Times New Roman"/>
          <w:sz w:val="24"/>
        </w:rPr>
        <w:t>är försvarlig</w:t>
      </w:r>
      <w:r w:rsidR="003E7CF4" w:rsidRPr="004C67F2">
        <w:rPr>
          <w:rFonts w:ascii="Times New Roman" w:hAnsi="Times New Roman"/>
          <w:sz w:val="24"/>
        </w:rPr>
        <w:t>t</w:t>
      </w:r>
      <w:r w:rsidRPr="004C67F2">
        <w:rPr>
          <w:rFonts w:ascii="Times New Roman" w:hAnsi="Times New Roman"/>
          <w:sz w:val="24"/>
        </w:rPr>
        <w:t xml:space="preserve"> enligt 17 kap. 3 § 2 och 3</w:t>
      </w:r>
      <w:r w:rsidR="00D61303" w:rsidRPr="004C67F2">
        <w:rPr>
          <w:rFonts w:ascii="Times New Roman" w:hAnsi="Times New Roman"/>
          <w:sz w:val="24"/>
        </w:rPr>
        <w:t xml:space="preserve"> st</w:t>
      </w:r>
      <w:r w:rsidRPr="004C67F2">
        <w:rPr>
          <w:rFonts w:ascii="Times New Roman" w:hAnsi="Times New Roman"/>
          <w:sz w:val="24"/>
        </w:rPr>
        <w:t>. aktiebolagslagen, dvs. med hänvisning till de krav som verksamhetens art, omfattning och risker ställer på storleken av bolagets och koncernens egna kapital samt bolagets och koncernens konsolideringsbehov, likviditet och ställning i övrigt.</w:t>
      </w:r>
    </w:p>
    <w:p w:rsidR="001E4A4D" w:rsidRPr="004C67F2" w:rsidRDefault="001E4A4D" w:rsidP="001E4A4D">
      <w:pPr>
        <w:pStyle w:val="Body"/>
        <w:rPr>
          <w:rFonts w:ascii="Times New Roman" w:hAnsi="Times New Roman"/>
          <w:sz w:val="24"/>
        </w:rPr>
      </w:pPr>
    </w:p>
    <w:p w:rsidR="001E4A4D" w:rsidRPr="004C67F2" w:rsidRDefault="001E4A4D" w:rsidP="001E4A4D">
      <w:pPr>
        <w:pStyle w:val="Body"/>
        <w:jc w:val="center"/>
        <w:rPr>
          <w:rFonts w:ascii="Times New Roman" w:hAnsi="Times New Roman"/>
          <w:sz w:val="24"/>
        </w:rPr>
      </w:pPr>
      <w:r w:rsidRPr="004C67F2">
        <w:rPr>
          <w:rFonts w:ascii="Times New Roman" w:hAnsi="Times New Roman"/>
          <w:sz w:val="24"/>
        </w:rPr>
        <w:t>Göteborg i april 201</w:t>
      </w:r>
      <w:r w:rsidR="00846C19" w:rsidRPr="004C67F2">
        <w:rPr>
          <w:rFonts w:ascii="Times New Roman" w:hAnsi="Times New Roman"/>
          <w:sz w:val="24"/>
        </w:rPr>
        <w:t>8</w:t>
      </w:r>
    </w:p>
    <w:p w:rsidR="001E4A4D" w:rsidRPr="004C67F2" w:rsidRDefault="001E4A4D" w:rsidP="001E4A4D">
      <w:pPr>
        <w:pStyle w:val="Body"/>
        <w:jc w:val="center"/>
        <w:rPr>
          <w:rFonts w:ascii="Times New Roman" w:hAnsi="Times New Roman"/>
          <w:b/>
          <w:sz w:val="24"/>
        </w:rPr>
      </w:pPr>
      <w:r w:rsidRPr="004C67F2">
        <w:rPr>
          <w:rFonts w:ascii="Times New Roman" w:hAnsi="Times New Roman"/>
          <w:b/>
          <w:sz w:val="24"/>
        </w:rPr>
        <w:t>Fastighets AB Balder (publ)</w:t>
      </w:r>
    </w:p>
    <w:p w:rsidR="001E4A4D" w:rsidRPr="004C67F2" w:rsidRDefault="001E4A4D" w:rsidP="001E4A4D">
      <w:pPr>
        <w:pStyle w:val="Body"/>
        <w:jc w:val="center"/>
        <w:rPr>
          <w:rFonts w:ascii="Times New Roman" w:hAnsi="Times New Roman"/>
          <w:sz w:val="24"/>
        </w:rPr>
      </w:pPr>
      <w:r w:rsidRPr="004C67F2">
        <w:rPr>
          <w:rFonts w:ascii="Times New Roman" w:hAnsi="Times New Roman"/>
          <w:sz w:val="24"/>
        </w:rPr>
        <w:t>Styrelsen</w:t>
      </w:r>
    </w:p>
    <w:tbl>
      <w:tblPr>
        <w:tblW w:w="0" w:type="auto"/>
        <w:tblLayout w:type="fixed"/>
        <w:tblLook w:val="01E0" w:firstRow="1" w:lastRow="1" w:firstColumn="1" w:lastColumn="1" w:noHBand="0" w:noVBand="0"/>
      </w:tblPr>
      <w:tblGrid>
        <w:gridCol w:w="2982"/>
        <w:gridCol w:w="2982"/>
        <w:gridCol w:w="2983"/>
      </w:tblGrid>
      <w:tr w:rsidR="00D61303" w:rsidRPr="004C67F2" w:rsidTr="00FC06B7">
        <w:tc>
          <w:tcPr>
            <w:tcW w:w="2982" w:type="dxa"/>
            <w:shd w:val="clear" w:color="auto" w:fill="auto"/>
          </w:tcPr>
          <w:p w:rsidR="001E4A4D" w:rsidRPr="004C67F2" w:rsidRDefault="001E4A4D" w:rsidP="00FC06B7">
            <w:pPr>
              <w:pStyle w:val="CellBody"/>
              <w:rPr>
                <w:rFonts w:ascii="Times New Roman" w:hAnsi="Times New Roman"/>
                <w:sz w:val="24"/>
                <w:szCs w:val="24"/>
              </w:rPr>
            </w:pPr>
          </w:p>
        </w:tc>
        <w:tc>
          <w:tcPr>
            <w:tcW w:w="2982" w:type="dxa"/>
            <w:shd w:val="clear" w:color="auto" w:fill="auto"/>
          </w:tcPr>
          <w:p w:rsidR="001E4A4D" w:rsidRPr="004C67F2" w:rsidRDefault="001E4A4D" w:rsidP="00FC06B7">
            <w:pPr>
              <w:pStyle w:val="CellBody"/>
              <w:rPr>
                <w:rFonts w:ascii="Times New Roman" w:hAnsi="Times New Roman"/>
                <w:sz w:val="24"/>
                <w:szCs w:val="24"/>
              </w:rPr>
            </w:pPr>
          </w:p>
        </w:tc>
        <w:tc>
          <w:tcPr>
            <w:tcW w:w="2983" w:type="dxa"/>
            <w:shd w:val="clear" w:color="auto" w:fill="auto"/>
          </w:tcPr>
          <w:p w:rsidR="001E4A4D" w:rsidRPr="004C67F2" w:rsidRDefault="001E4A4D" w:rsidP="00FC06B7">
            <w:pPr>
              <w:pStyle w:val="CellBody"/>
              <w:rPr>
                <w:rFonts w:ascii="Times New Roman" w:hAnsi="Times New Roman"/>
                <w:sz w:val="24"/>
                <w:szCs w:val="24"/>
              </w:rPr>
            </w:pPr>
          </w:p>
        </w:tc>
      </w:tr>
      <w:tr w:rsidR="00D61303" w:rsidRPr="004C67F2" w:rsidTr="00FC06B7">
        <w:tc>
          <w:tcPr>
            <w:tcW w:w="2982" w:type="dxa"/>
            <w:shd w:val="clear" w:color="auto" w:fill="auto"/>
          </w:tcPr>
          <w:p w:rsidR="001E4A4D" w:rsidRPr="004C67F2" w:rsidRDefault="001E4A4D" w:rsidP="00FC06B7">
            <w:pPr>
              <w:pStyle w:val="CellBody"/>
              <w:rPr>
                <w:rFonts w:ascii="Times New Roman" w:hAnsi="Times New Roman"/>
                <w:sz w:val="24"/>
                <w:szCs w:val="24"/>
              </w:rPr>
            </w:pPr>
            <w:r w:rsidRPr="004C67F2">
              <w:rPr>
                <w:rFonts w:ascii="Times New Roman" w:hAnsi="Times New Roman"/>
                <w:sz w:val="24"/>
                <w:szCs w:val="24"/>
              </w:rPr>
              <w:t>Christina Rogestam</w:t>
            </w:r>
          </w:p>
        </w:tc>
        <w:tc>
          <w:tcPr>
            <w:tcW w:w="2982" w:type="dxa"/>
            <w:shd w:val="clear" w:color="auto" w:fill="auto"/>
          </w:tcPr>
          <w:p w:rsidR="001E4A4D" w:rsidRPr="004C67F2" w:rsidRDefault="001E4A4D" w:rsidP="00FC06B7">
            <w:pPr>
              <w:pStyle w:val="CellBody"/>
              <w:rPr>
                <w:rFonts w:ascii="Times New Roman" w:hAnsi="Times New Roman"/>
                <w:sz w:val="24"/>
                <w:szCs w:val="24"/>
              </w:rPr>
            </w:pPr>
            <w:r w:rsidRPr="004C67F2">
              <w:rPr>
                <w:rFonts w:ascii="Times New Roman" w:hAnsi="Times New Roman"/>
                <w:sz w:val="24"/>
                <w:szCs w:val="24"/>
              </w:rPr>
              <w:t>Erik Selin</w:t>
            </w:r>
          </w:p>
        </w:tc>
        <w:tc>
          <w:tcPr>
            <w:tcW w:w="2983" w:type="dxa"/>
            <w:shd w:val="clear" w:color="auto" w:fill="auto"/>
          </w:tcPr>
          <w:p w:rsidR="001E4A4D" w:rsidRPr="004C67F2" w:rsidRDefault="001E4A4D" w:rsidP="00FC06B7">
            <w:pPr>
              <w:pStyle w:val="CellBody"/>
              <w:rPr>
                <w:rFonts w:ascii="Times New Roman" w:hAnsi="Times New Roman"/>
                <w:sz w:val="24"/>
                <w:szCs w:val="24"/>
              </w:rPr>
            </w:pPr>
            <w:r w:rsidRPr="004C67F2">
              <w:rPr>
                <w:rFonts w:ascii="Times New Roman" w:hAnsi="Times New Roman"/>
                <w:sz w:val="24"/>
                <w:szCs w:val="24"/>
              </w:rPr>
              <w:t>Fredrik Svensson</w:t>
            </w:r>
          </w:p>
        </w:tc>
      </w:tr>
      <w:tr w:rsidR="00D61303" w:rsidRPr="004C67F2" w:rsidTr="00FC06B7">
        <w:tc>
          <w:tcPr>
            <w:tcW w:w="2982" w:type="dxa"/>
            <w:shd w:val="clear" w:color="auto" w:fill="auto"/>
          </w:tcPr>
          <w:p w:rsidR="001E4A4D" w:rsidRPr="004C67F2" w:rsidRDefault="001E4A4D" w:rsidP="00FC06B7">
            <w:pPr>
              <w:pStyle w:val="CellBody"/>
              <w:rPr>
                <w:rFonts w:ascii="Times New Roman" w:hAnsi="Times New Roman"/>
                <w:sz w:val="24"/>
                <w:szCs w:val="24"/>
              </w:rPr>
            </w:pPr>
          </w:p>
        </w:tc>
        <w:tc>
          <w:tcPr>
            <w:tcW w:w="2982" w:type="dxa"/>
            <w:shd w:val="clear" w:color="auto" w:fill="auto"/>
          </w:tcPr>
          <w:p w:rsidR="001E4A4D" w:rsidRPr="004C67F2" w:rsidRDefault="001E4A4D" w:rsidP="00FC06B7">
            <w:pPr>
              <w:pStyle w:val="CellBody"/>
              <w:rPr>
                <w:rFonts w:ascii="Times New Roman" w:hAnsi="Times New Roman"/>
                <w:sz w:val="24"/>
                <w:szCs w:val="24"/>
              </w:rPr>
            </w:pPr>
          </w:p>
        </w:tc>
        <w:tc>
          <w:tcPr>
            <w:tcW w:w="2983" w:type="dxa"/>
            <w:shd w:val="clear" w:color="auto" w:fill="auto"/>
          </w:tcPr>
          <w:p w:rsidR="001E4A4D" w:rsidRPr="004C67F2" w:rsidRDefault="001E4A4D" w:rsidP="00FC06B7">
            <w:pPr>
              <w:pStyle w:val="CellBody"/>
              <w:rPr>
                <w:rFonts w:ascii="Times New Roman" w:hAnsi="Times New Roman"/>
                <w:sz w:val="24"/>
                <w:szCs w:val="24"/>
              </w:rPr>
            </w:pPr>
          </w:p>
        </w:tc>
      </w:tr>
      <w:tr w:rsidR="001E4A4D" w:rsidRPr="00D61303" w:rsidTr="00FC06B7">
        <w:trPr>
          <w:trHeight w:val="867"/>
        </w:trPr>
        <w:tc>
          <w:tcPr>
            <w:tcW w:w="2982" w:type="dxa"/>
            <w:shd w:val="clear" w:color="auto" w:fill="auto"/>
          </w:tcPr>
          <w:p w:rsidR="001E4A4D" w:rsidRPr="004C67F2" w:rsidRDefault="001E4A4D" w:rsidP="00FC06B7">
            <w:pPr>
              <w:pStyle w:val="CellBody"/>
              <w:rPr>
                <w:rFonts w:ascii="Times New Roman" w:hAnsi="Times New Roman"/>
                <w:sz w:val="24"/>
                <w:szCs w:val="24"/>
              </w:rPr>
            </w:pPr>
            <w:r w:rsidRPr="004C67F2">
              <w:rPr>
                <w:rFonts w:ascii="Times New Roman" w:hAnsi="Times New Roman"/>
                <w:sz w:val="24"/>
                <w:szCs w:val="24"/>
              </w:rPr>
              <w:t>Sten Dunér</w:t>
            </w:r>
          </w:p>
          <w:p w:rsidR="001E4A4D" w:rsidRPr="004C67F2" w:rsidRDefault="001E4A4D" w:rsidP="00FC06B7">
            <w:pPr>
              <w:pStyle w:val="CellBody"/>
              <w:rPr>
                <w:rFonts w:ascii="Times New Roman" w:hAnsi="Times New Roman"/>
                <w:sz w:val="24"/>
                <w:szCs w:val="24"/>
              </w:rPr>
            </w:pPr>
          </w:p>
        </w:tc>
        <w:tc>
          <w:tcPr>
            <w:tcW w:w="2982" w:type="dxa"/>
            <w:shd w:val="clear" w:color="auto" w:fill="auto"/>
          </w:tcPr>
          <w:p w:rsidR="001E4A4D" w:rsidRPr="00D61303" w:rsidRDefault="001E4A4D" w:rsidP="00FC06B7">
            <w:pPr>
              <w:pStyle w:val="CellBody"/>
              <w:rPr>
                <w:rFonts w:ascii="Times New Roman" w:hAnsi="Times New Roman"/>
                <w:sz w:val="24"/>
                <w:szCs w:val="24"/>
              </w:rPr>
            </w:pPr>
            <w:r w:rsidRPr="004C67F2">
              <w:rPr>
                <w:rFonts w:ascii="Times New Roman" w:hAnsi="Times New Roman"/>
                <w:sz w:val="24"/>
                <w:szCs w:val="24"/>
              </w:rPr>
              <w:t>Anders Wennergren</w:t>
            </w:r>
          </w:p>
          <w:p w:rsidR="001E4A4D" w:rsidRPr="00D61303" w:rsidRDefault="001E4A4D" w:rsidP="00FC06B7">
            <w:pPr>
              <w:pStyle w:val="CellBody"/>
              <w:rPr>
                <w:rFonts w:ascii="Times New Roman" w:hAnsi="Times New Roman"/>
                <w:sz w:val="24"/>
                <w:szCs w:val="24"/>
              </w:rPr>
            </w:pPr>
          </w:p>
        </w:tc>
        <w:tc>
          <w:tcPr>
            <w:tcW w:w="2983" w:type="dxa"/>
            <w:shd w:val="clear" w:color="auto" w:fill="auto"/>
          </w:tcPr>
          <w:p w:rsidR="001E4A4D" w:rsidRPr="00D61303" w:rsidRDefault="001E4A4D" w:rsidP="00FC06B7">
            <w:pPr>
              <w:pStyle w:val="CellBody"/>
              <w:rPr>
                <w:rFonts w:ascii="Times New Roman" w:hAnsi="Times New Roman"/>
                <w:sz w:val="24"/>
                <w:szCs w:val="24"/>
              </w:rPr>
            </w:pPr>
          </w:p>
        </w:tc>
      </w:tr>
    </w:tbl>
    <w:p w:rsidR="00716114" w:rsidRPr="00D61303" w:rsidRDefault="00716114" w:rsidP="001E4A4D">
      <w:pPr>
        <w:pStyle w:val="SubHead"/>
        <w:keepLines/>
        <w:jc w:val="left"/>
        <w:rPr>
          <w:rFonts w:ascii="Times New Roman" w:hAnsi="Times New Roman"/>
          <w:sz w:val="24"/>
        </w:rPr>
      </w:pPr>
    </w:p>
    <w:sectPr w:rsidR="00716114" w:rsidRPr="00D61303" w:rsidSect="00B643A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Edwardian Script I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A7C3C"/>
    <w:multiLevelType w:val="singleLevel"/>
    <w:tmpl w:val="C3145E6E"/>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
    <w:nsid w:val="62215270"/>
    <w:multiLevelType w:val="singleLevel"/>
    <w:tmpl w:val="2172956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2">
    <w:nsid w:val="785A5B88"/>
    <w:multiLevelType w:val="singleLevel"/>
    <w:tmpl w:val="8EA006A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3">
    <w:nsid w:val="7ED04878"/>
    <w:multiLevelType w:val="multilevel"/>
    <w:tmpl w:val="65B8D90C"/>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F"/>
    <w:rsid w:val="00011972"/>
    <w:rsid w:val="000840EA"/>
    <w:rsid w:val="000D5E2C"/>
    <w:rsid w:val="001E49AA"/>
    <w:rsid w:val="001E4A4D"/>
    <w:rsid w:val="002227C0"/>
    <w:rsid w:val="002E2401"/>
    <w:rsid w:val="0036539E"/>
    <w:rsid w:val="003C2E28"/>
    <w:rsid w:val="003E7CF4"/>
    <w:rsid w:val="00467F6F"/>
    <w:rsid w:val="004C67F2"/>
    <w:rsid w:val="005B542A"/>
    <w:rsid w:val="005C1472"/>
    <w:rsid w:val="00716114"/>
    <w:rsid w:val="007A5993"/>
    <w:rsid w:val="007B1884"/>
    <w:rsid w:val="007D3FBF"/>
    <w:rsid w:val="00822340"/>
    <w:rsid w:val="00846C19"/>
    <w:rsid w:val="008651B3"/>
    <w:rsid w:val="008C717A"/>
    <w:rsid w:val="008E1BDD"/>
    <w:rsid w:val="008E4126"/>
    <w:rsid w:val="00946AE8"/>
    <w:rsid w:val="0099585A"/>
    <w:rsid w:val="009C1990"/>
    <w:rsid w:val="009D6BB5"/>
    <w:rsid w:val="00A470A0"/>
    <w:rsid w:val="00A67D75"/>
    <w:rsid w:val="00B60918"/>
    <w:rsid w:val="00B643A8"/>
    <w:rsid w:val="00C21E4D"/>
    <w:rsid w:val="00CA4F84"/>
    <w:rsid w:val="00D052BC"/>
    <w:rsid w:val="00D61303"/>
    <w:rsid w:val="00DB45CE"/>
    <w:rsid w:val="00DC6530"/>
    <w:rsid w:val="00E37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link w:val="BodyChar"/>
    <w:rsid w:val="00467F6F"/>
    <w:pPr>
      <w:spacing w:after="140" w:line="290" w:lineRule="auto"/>
      <w:jc w:val="both"/>
    </w:pPr>
    <w:rPr>
      <w:rFonts w:ascii="Arial" w:eastAsia="Times New Roman" w:hAnsi="Arial" w:cs="Times New Roman"/>
      <w:kern w:val="20"/>
      <w:sz w:val="20"/>
      <w:szCs w:val="24"/>
    </w:rPr>
  </w:style>
  <w:style w:type="paragraph" w:customStyle="1" w:styleId="SubHead">
    <w:name w:val="SubHead"/>
    <w:basedOn w:val="Normal"/>
    <w:next w:val="Body"/>
    <w:rsid w:val="00467F6F"/>
    <w:pPr>
      <w:keepNext/>
      <w:spacing w:before="120" w:after="60" w:line="290" w:lineRule="auto"/>
      <w:jc w:val="both"/>
      <w:outlineLvl w:val="0"/>
    </w:pPr>
    <w:rPr>
      <w:rFonts w:ascii="Arial" w:eastAsia="Times New Roman" w:hAnsi="Arial" w:cs="Times New Roman"/>
      <w:b/>
      <w:kern w:val="21"/>
      <w:sz w:val="21"/>
      <w:szCs w:val="24"/>
    </w:rPr>
  </w:style>
  <w:style w:type="character" w:customStyle="1" w:styleId="BodyChar">
    <w:name w:val="Body Char"/>
    <w:basedOn w:val="Standardstycketeckensnitt"/>
    <w:link w:val="Body"/>
    <w:rsid w:val="00467F6F"/>
    <w:rPr>
      <w:rFonts w:ascii="Arial" w:eastAsia="Times New Roman" w:hAnsi="Arial" w:cs="Times New Roman"/>
      <w:kern w:val="20"/>
      <w:sz w:val="20"/>
      <w:szCs w:val="24"/>
    </w:rPr>
  </w:style>
  <w:style w:type="paragraph" w:customStyle="1" w:styleId="alpha1">
    <w:name w:val="alpha 1"/>
    <w:basedOn w:val="Normal"/>
    <w:rsid w:val="00B60918"/>
    <w:pPr>
      <w:numPr>
        <w:numId w:val="1"/>
      </w:numPr>
      <w:spacing w:after="140" w:line="290" w:lineRule="auto"/>
      <w:jc w:val="both"/>
    </w:pPr>
    <w:rPr>
      <w:rFonts w:ascii="Arial" w:eastAsia="Times New Roman" w:hAnsi="Arial" w:cs="Times New Roman"/>
      <w:kern w:val="20"/>
      <w:sz w:val="20"/>
      <w:szCs w:val="20"/>
    </w:rPr>
  </w:style>
  <w:style w:type="paragraph" w:customStyle="1" w:styleId="roman2">
    <w:name w:val="roman 2"/>
    <w:basedOn w:val="Normal"/>
    <w:rsid w:val="00716114"/>
    <w:pPr>
      <w:numPr>
        <w:numId w:val="2"/>
      </w:numPr>
      <w:spacing w:after="140" w:line="290" w:lineRule="auto"/>
      <w:jc w:val="both"/>
    </w:pPr>
    <w:rPr>
      <w:rFonts w:ascii="Arial" w:eastAsia="Times New Roman" w:hAnsi="Arial" w:cs="Times New Roman"/>
      <w:kern w:val="20"/>
      <w:sz w:val="20"/>
      <w:szCs w:val="20"/>
    </w:rPr>
  </w:style>
  <w:style w:type="paragraph" w:customStyle="1" w:styleId="roman3">
    <w:name w:val="roman 3"/>
    <w:basedOn w:val="Normal"/>
    <w:rsid w:val="00716114"/>
    <w:pPr>
      <w:numPr>
        <w:numId w:val="3"/>
      </w:numPr>
      <w:spacing w:after="140" w:line="290" w:lineRule="auto"/>
      <w:jc w:val="both"/>
    </w:pPr>
    <w:rPr>
      <w:rFonts w:ascii="Arial" w:eastAsia="Times New Roman" w:hAnsi="Arial" w:cs="Times New Roman"/>
      <w:kern w:val="20"/>
      <w:sz w:val="20"/>
      <w:szCs w:val="20"/>
    </w:rPr>
  </w:style>
  <w:style w:type="paragraph" w:customStyle="1" w:styleId="ListNumbers">
    <w:name w:val="List Numbers"/>
    <w:basedOn w:val="Normal"/>
    <w:rsid w:val="00716114"/>
    <w:pPr>
      <w:numPr>
        <w:numId w:val="4"/>
      </w:numPr>
      <w:spacing w:after="140" w:line="290" w:lineRule="auto"/>
      <w:jc w:val="both"/>
      <w:outlineLvl w:val="0"/>
    </w:pPr>
    <w:rPr>
      <w:rFonts w:ascii="Arial" w:eastAsia="Times New Roman" w:hAnsi="Arial" w:cs="Times New Roman"/>
      <w:kern w:val="20"/>
      <w:sz w:val="20"/>
      <w:szCs w:val="24"/>
    </w:rPr>
  </w:style>
  <w:style w:type="paragraph" w:customStyle="1" w:styleId="Head">
    <w:name w:val="Head"/>
    <w:basedOn w:val="Normal"/>
    <w:next w:val="Body"/>
    <w:rsid w:val="001E4A4D"/>
    <w:pPr>
      <w:keepNext/>
      <w:spacing w:before="280" w:after="140" w:line="290" w:lineRule="auto"/>
      <w:jc w:val="both"/>
      <w:outlineLvl w:val="0"/>
    </w:pPr>
    <w:rPr>
      <w:rFonts w:ascii="Arial" w:eastAsia="Times New Roman" w:hAnsi="Arial" w:cs="Times New Roman"/>
      <w:b/>
      <w:kern w:val="23"/>
      <w:sz w:val="23"/>
      <w:szCs w:val="24"/>
    </w:rPr>
  </w:style>
  <w:style w:type="paragraph" w:customStyle="1" w:styleId="CellBody">
    <w:name w:val="CellBody"/>
    <w:basedOn w:val="Normal"/>
    <w:rsid w:val="001E4A4D"/>
    <w:pPr>
      <w:spacing w:before="60" w:after="60" w:line="290" w:lineRule="auto"/>
    </w:pPr>
    <w:rPr>
      <w:rFonts w:ascii="Arial" w:eastAsia="Times New Roman" w:hAnsi="Arial" w:cs="Times New Roman"/>
      <w:kern w:val="20"/>
      <w:sz w:val="20"/>
      <w:szCs w:val="20"/>
    </w:rPr>
  </w:style>
  <w:style w:type="paragraph" w:styleId="Ballongtext">
    <w:name w:val="Balloon Text"/>
    <w:basedOn w:val="Normal"/>
    <w:link w:val="BallongtextChar"/>
    <w:uiPriority w:val="99"/>
    <w:semiHidden/>
    <w:unhideWhenUsed/>
    <w:rsid w:val="005B54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link w:val="BodyChar"/>
    <w:rsid w:val="00467F6F"/>
    <w:pPr>
      <w:spacing w:after="140" w:line="290" w:lineRule="auto"/>
      <w:jc w:val="both"/>
    </w:pPr>
    <w:rPr>
      <w:rFonts w:ascii="Arial" w:eastAsia="Times New Roman" w:hAnsi="Arial" w:cs="Times New Roman"/>
      <w:kern w:val="20"/>
      <w:sz w:val="20"/>
      <w:szCs w:val="24"/>
    </w:rPr>
  </w:style>
  <w:style w:type="paragraph" w:customStyle="1" w:styleId="SubHead">
    <w:name w:val="SubHead"/>
    <w:basedOn w:val="Normal"/>
    <w:next w:val="Body"/>
    <w:rsid w:val="00467F6F"/>
    <w:pPr>
      <w:keepNext/>
      <w:spacing w:before="120" w:after="60" w:line="290" w:lineRule="auto"/>
      <w:jc w:val="both"/>
      <w:outlineLvl w:val="0"/>
    </w:pPr>
    <w:rPr>
      <w:rFonts w:ascii="Arial" w:eastAsia="Times New Roman" w:hAnsi="Arial" w:cs="Times New Roman"/>
      <w:b/>
      <w:kern w:val="21"/>
      <w:sz w:val="21"/>
      <w:szCs w:val="24"/>
    </w:rPr>
  </w:style>
  <w:style w:type="character" w:customStyle="1" w:styleId="BodyChar">
    <w:name w:val="Body Char"/>
    <w:basedOn w:val="Standardstycketeckensnitt"/>
    <w:link w:val="Body"/>
    <w:rsid w:val="00467F6F"/>
    <w:rPr>
      <w:rFonts w:ascii="Arial" w:eastAsia="Times New Roman" w:hAnsi="Arial" w:cs="Times New Roman"/>
      <w:kern w:val="20"/>
      <w:sz w:val="20"/>
      <w:szCs w:val="24"/>
    </w:rPr>
  </w:style>
  <w:style w:type="paragraph" w:customStyle="1" w:styleId="alpha1">
    <w:name w:val="alpha 1"/>
    <w:basedOn w:val="Normal"/>
    <w:rsid w:val="00B60918"/>
    <w:pPr>
      <w:numPr>
        <w:numId w:val="1"/>
      </w:numPr>
      <w:spacing w:after="140" w:line="290" w:lineRule="auto"/>
      <w:jc w:val="both"/>
    </w:pPr>
    <w:rPr>
      <w:rFonts w:ascii="Arial" w:eastAsia="Times New Roman" w:hAnsi="Arial" w:cs="Times New Roman"/>
      <w:kern w:val="20"/>
      <w:sz w:val="20"/>
      <w:szCs w:val="20"/>
    </w:rPr>
  </w:style>
  <w:style w:type="paragraph" w:customStyle="1" w:styleId="roman2">
    <w:name w:val="roman 2"/>
    <w:basedOn w:val="Normal"/>
    <w:rsid w:val="00716114"/>
    <w:pPr>
      <w:numPr>
        <w:numId w:val="2"/>
      </w:numPr>
      <w:spacing w:after="140" w:line="290" w:lineRule="auto"/>
      <w:jc w:val="both"/>
    </w:pPr>
    <w:rPr>
      <w:rFonts w:ascii="Arial" w:eastAsia="Times New Roman" w:hAnsi="Arial" w:cs="Times New Roman"/>
      <w:kern w:val="20"/>
      <w:sz w:val="20"/>
      <w:szCs w:val="20"/>
    </w:rPr>
  </w:style>
  <w:style w:type="paragraph" w:customStyle="1" w:styleId="roman3">
    <w:name w:val="roman 3"/>
    <w:basedOn w:val="Normal"/>
    <w:rsid w:val="00716114"/>
    <w:pPr>
      <w:numPr>
        <w:numId w:val="3"/>
      </w:numPr>
      <w:spacing w:after="140" w:line="290" w:lineRule="auto"/>
      <w:jc w:val="both"/>
    </w:pPr>
    <w:rPr>
      <w:rFonts w:ascii="Arial" w:eastAsia="Times New Roman" w:hAnsi="Arial" w:cs="Times New Roman"/>
      <w:kern w:val="20"/>
      <w:sz w:val="20"/>
      <w:szCs w:val="20"/>
    </w:rPr>
  </w:style>
  <w:style w:type="paragraph" w:customStyle="1" w:styleId="ListNumbers">
    <w:name w:val="List Numbers"/>
    <w:basedOn w:val="Normal"/>
    <w:rsid w:val="00716114"/>
    <w:pPr>
      <w:numPr>
        <w:numId w:val="4"/>
      </w:numPr>
      <w:spacing w:after="140" w:line="290" w:lineRule="auto"/>
      <w:jc w:val="both"/>
      <w:outlineLvl w:val="0"/>
    </w:pPr>
    <w:rPr>
      <w:rFonts w:ascii="Arial" w:eastAsia="Times New Roman" w:hAnsi="Arial" w:cs="Times New Roman"/>
      <w:kern w:val="20"/>
      <w:sz w:val="20"/>
      <w:szCs w:val="24"/>
    </w:rPr>
  </w:style>
  <w:style w:type="paragraph" w:customStyle="1" w:styleId="Head">
    <w:name w:val="Head"/>
    <w:basedOn w:val="Normal"/>
    <w:next w:val="Body"/>
    <w:rsid w:val="001E4A4D"/>
    <w:pPr>
      <w:keepNext/>
      <w:spacing w:before="280" w:after="140" w:line="290" w:lineRule="auto"/>
      <w:jc w:val="both"/>
      <w:outlineLvl w:val="0"/>
    </w:pPr>
    <w:rPr>
      <w:rFonts w:ascii="Arial" w:eastAsia="Times New Roman" w:hAnsi="Arial" w:cs="Times New Roman"/>
      <w:b/>
      <w:kern w:val="23"/>
      <w:sz w:val="23"/>
      <w:szCs w:val="24"/>
    </w:rPr>
  </w:style>
  <w:style w:type="paragraph" w:customStyle="1" w:styleId="CellBody">
    <w:name w:val="CellBody"/>
    <w:basedOn w:val="Normal"/>
    <w:rsid w:val="001E4A4D"/>
    <w:pPr>
      <w:spacing w:before="60" w:after="60" w:line="290" w:lineRule="auto"/>
    </w:pPr>
    <w:rPr>
      <w:rFonts w:ascii="Arial" w:eastAsia="Times New Roman" w:hAnsi="Arial" w:cs="Times New Roman"/>
      <w:kern w:val="20"/>
      <w:sz w:val="20"/>
      <w:szCs w:val="20"/>
    </w:rPr>
  </w:style>
  <w:style w:type="paragraph" w:styleId="Ballongtext">
    <w:name w:val="Balloon Text"/>
    <w:basedOn w:val="Normal"/>
    <w:link w:val="BallongtextChar"/>
    <w:uiPriority w:val="99"/>
    <w:semiHidden/>
    <w:unhideWhenUsed/>
    <w:rsid w:val="005B54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2529</Characters>
  <Application>Microsoft Office Word</Application>
  <DocSecurity>0</DocSecurity>
  <Lines>63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Marek Zdrojewski</cp:lastModifiedBy>
  <cp:revision>5</cp:revision>
  <cp:lastPrinted>2017-03-23T08:40:00Z</cp:lastPrinted>
  <dcterms:created xsi:type="dcterms:W3CDTF">2018-04-16T11:14:00Z</dcterms:created>
  <dcterms:modified xsi:type="dcterms:W3CDTF">2018-04-16T14:49:00Z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108688</vt:lpwstr>
  </property>
  <property fmtid="{D5CDD505-2E9C-101B-9397-08002B2CF9AE}" pid="3" name="Klartext_arendenr">
    <vt:lpwstr>191</vt:lpwstr>
  </property>
  <property fmtid="{D5CDD505-2E9C-101B-9397-08002B2CF9AE}" pid="4" name="Klartext_dokid">
    <vt:lpwstr>494261</vt:lpwstr>
  </property>
  <property fmtid="{D5CDD505-2E9C-101B-9397-08002B2CF9AE}" pid="5" name="Klartext_Rubrik">
    <vt:lpwstr>Styrelsens motiverade yttrande version 2</vt:lpwstr>
  </property>
  <property fmtid="{D5CDD505-2E9C-101B-9397-08002B2CF9AE}" pid="6" name="Klartext_datab">
    <vt:lpwstr>Klartext</vt:lpwstr>
  </property>
  <property fmtid="{D5CDD505-2E9C-101B-9397-08002B2CF9AE}" pid="7" name="Klartext_srvr">
    <vt:lpwstr>ADVSQL102\I02</vt:lpwstr>
  </property>
  <property fmtid="{D5CDD505-2E9C-101B-9397-08002B2CF9AE}" pid="8" name="Klartext_subpath">
    <vt:lpwstr>\\corp.advance.se\se-dfs-root\kunder\gli\program\akter\108688\191\0062\</vt:lpwstr>
  </property>
  <property fmtid="{D5CDD505-2E9C-101B-9397-08002B2CF9AE}" pid="9" name="Klartext_path">
    <vt:lpwstr>\\corp.advance.se\se-dfs-root\kunder\gli\program\akter\108688\191\0062.docx</vt:lpwstr>
  </property>
  <property fmtid="{D5CDD505-2E9C-101B-9397-08002B2CF9AE}" pid="10" name="Klartext_saved">
    <vt:lpwstr>yes</vt:lpwstr>
  </property>
</Properties>
</file>